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3C" w:rsidRPr="009679D8" w:rsidRDefault="00BF5B3C" w:rsidP="009679D8">
      <w:pPr>
        <w:spacing w:afterLines="50" w:after="120" w:line="320" w:lineRule="exact"/>
        <w:ind w:left="1"/>
        <w:jc w:val="center"/>
        <w:rPr>
          <w:rFonts w:ascii="標楷體" w:hAnsi="標楷體"/>
          <w:b/>
          <w:bCs/>
          <w:sz w:val="36"/>
          <w:szCs w:val="36"/>
        </w:rPr>
      </w:pPr>
      <w:r w:rsidRPr="009679D8">
        <w:rPr>
          <w:rFonts w:ascii="標楷體" w:hAnsi="標楷體" w:hint="eastAsia"/>
          <w:b/>
          <w:sz w:val="36"/>
          <w:szCs w:val="36"/>
        </w:rPr>
        <w:t>【各單位規劃補助款設備時</w:t>
      </w:r>
      <w:r w:rsidRPr="009679D8">
        <w:rPr>
          <w:rFonts w:ascii="標楷體" w:hAnsi="標楷體"/>
          <w:b/>
          <w:sz w:val="36"/>
          <w:szCs w:val="36"/>
        </w:rPr>
        <w:t>應注意事項如下</w:t>
      </w:r>
      <w:r w:rsidRPr="009679D8">
        <w:rPr>
          <w:rFonts w:ascii="標楷體" w:hAnsi="標楷體" w:hint="eastAsia"/>
          <w:b/>
          <w:sz w:val="36"/>
          <w:szCs w:val="36"/>
        </w:rPr>
        <w:t>(總務處提供)】</w:t>
      </w:r>
    </w:p>
    <w:p w:rsidR="00447128" w:rsidRDefault="00447128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/>
          <w:b/>
          <w:sz w:val="26"/>
          <w:szCs w:val="26"/>
        </w:rPr>
        <w:t>各所系科中心</w:t>
      </w:r>
      <w:r w:rsidRPr="009679D8">
        <w:rPr>
          <w:rFonts w:ascii="標楷體" w:hAnsi="標楷體" w:hint="eastAsia"/>
          <w:b/>
          <w:sz w:val="26"/>
          <w:szCs w:val="26"/>
        </w:rPr>
        <w:t>編列設備時</w:t>
      </w:r>
      <w:r w:rsidRPr="009679D8">
        <w:rPr>
          <w:rFonts w:ascii="標楷體" w:hAnsi="標楷體" w:hint="eastAsia"/>
          <w:b/>
          <w:bCs/>
          <w:sz w:val="26"/>
          <w:szCs w:val="26"/>
        </w:rPr>
        <w:t>，應符合教育部規定之</w:t>
      </w:r>
      <w:r w:rsidRPr="009679D8">
        <w:rPr>
          <w:rFonts w:ascii="標楷體" w:hAnsi="標楷體"/>
          <w:b/>
          <w:sz w:val="26"/>
          <w:szCs w:val="26"/>
          <w:highlight w:val="yellow"/>
          <w:u w:val="single"/>
        </w:rPr>
        <w:t>教學及研究設備</w:t>
      </w:r>
      <w:r w:rsidRPr="009679D8">
        <w:rPr>
          <w:rFonts w:ascii="標楷體" w:hAnsi="標楷體" w:hint="eastAsia"/>
          <w:b/>
          <w:bCs/>
          <w:sz w:val="26"/>
          <w:szCs w:val="26"/>
        </w:rPr>
        <w:t>之用。</w:t>
      </w:r>
    </w:p>
    <w:p w:rsidR="009679D8" w:rsidRPr="009679D8" w:rsidRDefault="00BF5B3C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/>
          <w:b/>
          <w:bCs/>
          <w:sz w:val="26"/>
          <w:szCs w:val="26"/>
        </w:rPr>
        <w:t>規劃</w:t>
      </w:r>
      <w:r w:rsidRPr="004D14C7">
        <w:rPr>
          <w:rFonts w:ascii="標楷體" w:hAnsi="標楷體"/>
          <w:b/>
          <w:sz w:val="26"/>
          <w:szCs w:val="26"/>
          <w:highlight w:val="yellow"/>
          <w:u w:val="single"/>
        </w:rPr>
        <w:t>資本門設備</w:t>
      </w:r>
      <w:r w:rsidRPr="009679D8">
        <w:rPr>
          <w:rFonts w:ascii="標楷體" w:hAnsi="標楷體"/>
          <w:b/>
          <w:bCs/>
          <w:sz w:val="26"/>
          <w:szCs w:val="26"/>
        </w:rPr>
        <w:t>需求時，各項儀器設備之</w:t>
      </w:r>
      <w:r w:rsidRPr="009679D8">
        <w:rPr>
          <w:rFonts w:ascii="標楷體" w:hAnsi="標楷體" w:hint="eastAsia"/>
          <w:b/>
          <w:bCs/>
          <w:sz w:val="26"/>
          <w:szCs w:val="26"/>
        </w:rPr>
        <w:t>採購</w:t>
      </w:r>
      <w:r w:rsidRPr="009679D8">
        <w:rPr>
          <w:rFonts w:ascii="標楷體" w:hAnsi="標楷體"/>
          <w:b/>
          <w:bCs/>
          <w:sz w:val="26"/>
          <w:szCs w:val="26"/>
        </w:rPr>
        <w:t>單價</w:t>
      </w:r>
      <w:r w:rsidRPr="009679D8">
        <w:rPr>
          <w:rFonts w:ascii="標楷體" w:hAnsi="標楷體" w:hint="eastAsia"/>
          <w:b/>
          <w:bCs/>
          <w:sz w:val="26"/>
          <w:szCs w:val="26"/>
        </w:rPr>
        <w:t>應</w:t>
      </w:r>
      <w:r w:rsidRPr="009679D8">
        <w:rPr>
          <w:rFonts w:ascii="標楷體" w:hAnsi="標楷體"/>
          <w:b/>
          <w:bCs/>
          <w:sz w:val="26"/>
          <w:szCs w:val="26"/>
        </w:rPr>
        <w:t>在10</w:t>
      </w:r>
      <w:r w:rsidRPr="009679D8">
        <w:rPr>
          <w:rFonts w:ascii="標楷體" w:hAnsi="標楷體" w:hint="eastAsia"/>
          <w:b/>
          <w:bCs/>
          <w:sz w:val="26"/>
          <w:szCs w:val="26"/>
        </w:rPr>
        <w:t>,</w:t>
      </w:r>
      <w:r w:rsidRPr="009679D8">
        <w:rPr>
          <w:rFonts w:ascii="標楷體" w:hAnsi="標楷體"/>
          <w:b/>
          <w:bCs/>
          <w:sz w:val="26"/>
          <w:szCs w:val="26"/>
        </w:rPr>
        <w:t>000元以上，且使用年限需在2年以上</w:t>
      </w:r>
      <w:r w:rsidRPr="009679D8">
        <w:rPr>
          <w:rFonts w:ascii="標楷體" w:hAnsi="標楷體" w:hint="eastAsia"/>
          <w:b/>
          <w:bCs/>
          <w:sz w:val="26"/>
          <w:szCs w:val="26"/>
        </w:rPr>
        <w:t>。</w:t>
      </w:r>
    </w:p>
    <w:p w:rsidR="009679D8" w:rsidRPr="009679D8" w:rsidRDefault="009679D8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/>
          <w:b/>
          <w:bCs/>
          <w:sz w:val="26"/>
          <w:szCs w:val="26"/>
        </w:rPr>
        <w:t>單價金額未滿10</w:t>
      </w:r>
      <w:r w:rsidRPr="009679D8">
        <w:rPr>
          <w:rFonts w:ascii="標楷體" w:hAnsi="標楷體" w:hint="eastAsia"/>
          <w:b/>
          <w:bCs/>
          <w:sz w:val="26"/>
          <w:szCs w:val="26"/>
        </w:rPr>
        <w:t>,</w:t>
      </w:r>
      <w:r w:rsidRPr="009679D8">
        <w:rPr>
          <w:rFonts w:ascii="標楷體" w:hAnsi="標楷體"/>
          <w:b/>
          <w:bCs/>
          <w:sz w:val="26"/>
          <w:szCs w:val="26"/>
        </w:rPr>
        <w:t>000元</w:t>
      </w:r>
      <w:r w:rsidRPr="009679D8">
        <w:rPr>
          <w:rFonts w:ascii="標楷體" w:hAnsi="標楷體" w:hint="eastAsia"/>
          <w:b/>
          <w:bCs/>
          <w:sz w:val="26"/>
          <w:szCs w:val="26"/>
        </w:rPr>
        <w:t>(含)</w:t>
      </w:r>
      <w:r w:rsidRPr="009679D8">
        <w:rPr>
          <w:rFonts w:ascii="標楷體" w:hAnsi="標楷體"/>
          <w:b/>
          <w:bCs/>
          <w:sz w:val="26"/>
          <w:szCs w:val="26"/>
        </w:rPr>
        <w:t>者，</w:t>
      </w:r>
      <w:proofErr w:type="gramStart"/>
      <w:r w:rsidRPr="009679D8">
        <w:rPr>
          <w:rFonts w:ascii="標楷體" w:hAnsi="標楷體"/>
          <w:b/>
          <w:sz w:val="26"/>
          <w:szCs w:val="26"/>
        </w:rPr>
        <w:t>請列在【</w:t>
      </w:r>
      <w:proofErr w:type="gramEnd"/>
      <w:r w:rsidRPr="009679D8">
        <w:rPr>
          <w:rFonts w:ascii="標楷體" w:hAnsi="標楷體"/>
          <w:b/>
          <w:sz w:val="26"/>
          <w:szCs w:val="26"/>
        </w:rPr>
        <w:t>經常門</w:t>
      </w:r>
      <w:r w:rsidRPr="009679D8">
        <w:rPr>
          <w:rFonts w:ascii="標楷體" w:hAnsi="標楷體" w:hint="eastAsia"/>
          <w:b/>
          <w:sz w:val="26"/>
          <w:szCs w:val="26"/>
        </w:rPr>
        <w:t>：</w:t>
      </w:r>
      <w:r w:rsidRPr="009679D8">
        <w:rPr>
          <w:rFonts w:ascii="標楷體" w:hAnsi="標楷體"/>
          <w:b/>
          <w:kern w:val="0"/>
          <w:sz w:val="26"/>
          <w:szCs w:val="26"/>
        </w:rPr>
        <w:t>改善教學相關物品</w:t>
      </w:r>
      <w:proofErr w:type="gramStart"/>
      <w:r w:rsidRPr="009679D8">
        <w:rPr>
          <w:rFonts w:ascii="標楷體" w:hAnsi="標楷體"/>
          <w:b/>
          <w:sz w:val="26"/>
          <w:szCs w:val="26"/>
        </w:rPr>
        <w:t>】</w:t>
      </w:r>
      <w:proofErr w:type="gramEnd"/>
      <w:r w:rsidRPr="009679D8">
        <w:rPr>
          <w:rFonts w:ascii="標楷體" w:hAnsi="標楷體" w:hint="eastAsia"/>
          <w:b/>
          <w:sz w:val="26"/>
          <w:szCs w:val="26"/>
        </w:rPr>
        <w:t>規格表</w:t>
      </w:r>
      <w:r w:rsidRPr="009679D8">
        <w:rPr>
          <w:rFonts w:ascii="標楷體" w:hAnsi="標楷體"/>
          <w:b/>
          <w:sz w:val="26"/>
          <w:szCs w:val="26"/>
        </w:rPr>
        <w:t>內。</w:t>
      </w:r>
    </w:p>
    <w:p w:rsidR="009679D8" w:rsidRPr="002D1A01" w:rsidRDefault="009679D8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/>
          <w:b/>
          <w:bCs/>
          <w:sz w:val="26"/>
          <w:szCs w:val="26"/>
          <w:highlight w:val="yellow"/>
          <w:shd w:val="pct15" w:color="auto" w:fill="FFFFFF"/>
        </w:rPr>
        <w:t>資本門設備請勿列入以下項目：使用年限未滿2年者、消耗性質之</w:t>
      </w:r>
      <w:r w:rsidRPr="009679D8">
        <w:rPr>
          <w:rFonts w:ascii="標楷體" w:hAnsi="標楷體" w:hint="eastAsia"/>
          <w:b/>
          <w:bCs/>
          <w:sz w:val="26"/>
          <w:szCs w:val="26"/>
          <w:highlight w:val="yellow"/>
          <w:shd w:val="pct15" w:color="auto" w:fill="FFFFFF"/>
        </w:rPr>
        <w:t>物品</w:t>
      </w:r>
      <w:r w:rsidRPr="009679D8">
        <w:rPr>
          <w:rFonts w:ascii="標楷體" w:hAnsi="標楷體"/>
          <w:b/>
          <w:bCs/>
          <w:sz w:val="26"/>
          <w:szCs w:val="26"/>
          <w:highlight w:val="yellow"/>
          <w:shd w:val="pct15" w:color="auto" w:fill="FFFFFF"/>
        </w:rPr>
        <w:t>等。</w:t>
      </w:r>
    </w:p>
    <w:p w:rsidR="004D14C7" w:rsidRDefault="002D1A01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bCs/>
          <w:sz w:val="26"/>
          <w:szCs w:val="26"/>
        </w:rPr>
        <w:t>須</w:t>
      </w:r>
      <w:proofErr w:type="gramStart"/>
      <w:r w:rsidRPr="009679D8">
        <w:rPr>
          <w:rFonts w:ascii="標楷體" w:hAnsi="標楷體"/>
          <w:b/>
          <w:bCs/>
          <w:sz w:val="26"/>
          <w:szCs w:val="26"/>
        </w:rPr>
        <w:t>新增</w:t>
      </w:r>
      <w:r w:rsidRPr="009679D8">
        <w:rPr>
          <w:rFonts w:ascii="標楷體" w:hAnsi="標楷體" w:hint="eastAsia"/>
          <w:b/>
          <w:bCs/>
          <w:sz w:val="26"/>
          <w:szCs w:val="26"/>
        </w:rPr>
        <w:t>非系所</w:t>
      </w:r>
      <w:proofErr w:type="gramEnd"/>
      <w:r w:rsidRPr="009679D8">
        <w:rPr>
          <w:rFonts w:ascii="標楷體" w:hAnsi="標楷體" w:hint="eastAsia"/>
          <w:b/>
          <w:bCs/>
          <w:sz w:val="26"/>
          <w:szCs w:val="26"/>
        </w:rPr>
        <w:t>控管之</w:t>
      </w:r>
      <w:r w:rsidRPr="009679D8">
        <w:rPr>
          <w:rFonts w:ascii="標楷體" w:hAnsi="標楷體"/>
          <w:b/>
          <w:bCs/>
          <w:sz w:val="26"/>
          <w:szCs w:val="26"/>
        </w:rPr>
        <w:t>專業教室單位，</w:t>
      </w:r>
      <w:r w:rsidRPr="009679D8">
        <w:rPr>
          <w:rFonts w:ascii="標楷體" w:hAnsi="標楷體" w:hint="eastAsia"/>
          <w:b/>
          <w:bCs/>
          <w:sz w:val="26"/>
          <w:szCs w:val="26"/>
        </w:rPr>
        <w:t>須先經過學院會議正式通過撥用空間後，才能編列預算。</w:t>
      </w:r>
    </w:p>
    <w:p w:rsidR="002D1A01" w:rsidRPr="009679D8" w:rsidRDefault="004D14C7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>
        <w:rPr>
          <w:rFonts w:ascii="標楷體" w:hAnsi="標楷體" w:hint="eastAsia"/>
          <w:b/>
          <w:bCs/>
          <w:sz w:val="26"/>
          <w:szCs w:val="26"/>
        </w:rPr>
        <w:t>請購</w:t>
      </w:r>
      <w:r w:rsidR="002D1A01" w:rsidRPr="009679D8">
        <w:rPr>
          <w:rFonts w:ascii="標楷體" w:hAnsi="標楷體"/>
          <w:b/>
          <w:bCs/>
          <w:sz w:val="26"/>
          <w:szCs w:val="26"/>
        </w:rPr>
        <w:t>簽呈</w:t>
      </w:r>
      <w:r w:rsidR="00EC7C03">
        <w:rPr>
          <w:rFonts w:ascii="標楷體" w:hAnsi="標楷體" w:hint="eastAsia"/>
          <w:b/>
          <w:bCs/>
          <w:sz w:val="26"/>
          <w:szCs w:val="26"/>
        </w:rPr>
        <w:t>需提供</w:t>
      </w:r>
      <w:r w:rsidR="002D1A01" w:rsidRPr="009679D8">
        <w:rPr>
          <w:rFonts w:ascii="標楷體" w:hAnsi="標楷體"/>
          <w:b/>
          <w:bCs/>
          <w:sz w:val="26"/>
          <w:szCs w:val="26"/>
        </w:rPr>
        <w:t>「空間需求說明表」</w:t>
      </w:r>
      <w:r w:rsidR="00EC7C03">
        <w:rPr>
          <w:rFonts w:ascii="標楷體" w:hAnsi="標楷體" w:hint="eastAsia"/>
          <w:b/>
          <w:bCs/>
          <w:sz w:val="26"/>
          <w:szCs w:val="26"/>
        </w:rPr>
        <w:t>，並</w:t>
      </w:r>
      <w:r w:rsidR="002D1A01" w:rsidRPr="009679D8">
        <w:rPr>
          <w:rFonts w:ascii="標楷體" w:hAnsi="標楷體"/>
          <w:b/>
          <w:bCs/>
          <w:sz w:val="26"/>
          <w:szCs w:val="26"/>
        </w:rPr>
        <w:t>標示新增專業教室之空間編號、水電、高架地板等需求。</w:t>
      </w:r>
    </w:p>
    <w:p w:rsidR="009679D8" w:rsidRPr="009679D8" w:rsidRDefault="00BF5B3C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bCs/>
          <w:sz w:val="26"/>
          <w:szCs w:val="26"/>
        </w:rPr>
        <w:t>若需求單位請廠商協助規劃相關設備時，在廠商交付資料後，規劃單位應就廠商所提供之資料及圖說確實查核是否符合需求，廠商附圖尺寸與規格資料及現場尺寸是否一致。以避免因誤用錯誤規格及附圖，造成次年請購後無法發包之情形。</w:t>
      </w:r>
    </w:p>
    <w:p w:rsidR="009679D8" w:rsidRPr="009679D8" w:rsidRDefault="00BF5B3C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bCs/>
          <w:sz w:val="26"/>
          <w:szCs w:val="26"/>
        </w:rPr>
        <w:t>填具預算</w:t>
      </w:r>
      <w:r w:rsidRPr="009679D8">
        <w:rPr>
          <w:rFonts w:ascii="標楷體" w:hAnsi="標楷體"/>
          <w:b/>
          <w:bCs/>
          <w:sz w:val="26"/>
          <w:szCs w:val="26"/>
        </w:rPr>
        <w:t>規劃之規格</w:t>
      </w:r>
      <w:r w:rsidRPr="009679D8">
        <w:rPr>
          <w:rFonts w:ascii="標楷體" w:hAnsi="標楷體" w:hint="eastAsia"/>
          <w:b/>
          <w:bCs/>
          <w:sz w:val="26"/>
          <w:szCs w:val="26"/>
        </w:rPr>
        <w:t>僅須略述幾個重要規格即可(請勿太詳細)，</w:t>
      </w:r>
      <w:r w:rsidRPr="009679D8">
        <w:rPr>
          <w:rFonts w:ascii="標楷體" w:hAnsi="標楷體"/>
          <w:b/>
          <w:bCs/>
          <w:sz w:val="26"/>
          <w:szCs w:val="26"/>
        </w:rPr>
        <w:t>後面最好加</w:t>
      </w:r>
      <w:proofErr w:type="gramStart"/>
      <w:r w:rsidRPr="009679D8">
        <w:rPr>
          <w:rFonts w:ascii="標楷體" w:hAnsi="標楷體"/>
          <w:b/>
          <w:bCs/>
          <w:sz w:val="26"/>
          <w:szCs w:val="26"/>
        </w:rPr>
        <w:t>註”</w:t>
      </w:r>
      <w:proofErr w:type="gramEnd"/>
      <w:r w:rsidRPr="009679D8">
        <w:rPr>
          <w:rFonts w:ascii="標楷體" w:hAnsi="標楷體"/>
          <w:b/>
          <w:bCs/>
          <w:sz w:val="26"/>
          <w:szCs w:val="26"/>
        </w:rPr>
        <w:t>(含</w:t>
      </w:r>
      <w:r w:rsidR="0096690F" w:rsidRPr="009679D8">
        <w:rPr>
          <w:rFonts w:ascii="標楷體" w:hAnsi="標楷體"/>
          <w:b/>
          <w:bCs/>
          <w:sz w:val="26"/>
          <w:szCs w:val="26"/>
        </w:rPr>
        <w:t>)</w:t>
      </w:r>
      <w:r w:rsidRPr="009679D8">
        <w:rPr>
          <w:rFonts w:ascii="標楷體" w:hAnsi="標楷體"/>
          <w:b/>
          <w:bCs/>
          <w:sz w:val="26"/>
          <w:szCs w:val="26"/>
        </w:rPr>
        <w:t>以上</w:t>
      </w:r>
      <w:proofErr w:type="gramStart"/>
      <w:r w:rsidRPr="009679D8">
        <w:rPr>
          <w:rFonts w:ascii="標楷體" w:hAnsi="標楷體"/>
          <w:b/>
          <w:bCs/>
          <w:sz w:val="26"/>
          <w:szCs w:val="26"/>
        </w:rPr>
        <w:t>”</w:t>
      </w:r>
      <w:proofErr w:type="gramEnd"/>
      <w:r w:rsidRPr="009679D8">
        <w:rPr>
          <w:rFonts w:ascii="標楷體" w:hAnsi="標楷體"/>
          <w:b/>
          <w:bCs/>
          <w:sz w:val="26"/>
          <w:szCs w:val="26"/>
        </w:rPr>
        <w:t>或</w:t>
      </w:r>
      <w:proofErr w:type="gramStart"/>
      <w:r w:rsidRPr="009679D8">
        <w:rPr>
          <w:rFonts w:ascii="標楷體" w:hAnsi="標楷體"/>
          <w:b/>
          <w:bCs/>
          <w:sz w:val="26"/>
          <w:szCs w:val="26"/>
        </w:rPr>
        <w:t>”</w:t>
      </w:r>
      <w:proofErr w:type="gramEnd"/>
      <w:r w:rsidRPr="009679D8">
        <w:rPr>
          <w:rFonts w:ascii="標楷體" w:hAnsi="標楷體"/>
          <w:b/>
          <w:sz w:val="26"/>
          <w:szCs w:val="26"/>
        </w:rPr>
        <w:t>±百分比</w:t>
      </w:r>
      <w:proofErr w:type="gramStart"/>
      <w:r w:rsidRPr="009679D8">
        <w:rPr>
          <w:rFonts w:ascii="標楷體" w:hAnsi="標楷體"/>
          <w:b/>
          <w:sz w:val="26"/>
          <w:szCs w:val="26"/>
        </w:rPr>
        <w:t>”</w:t>
      </w:r>
      <w:proofErr w:type="gramEnd"/>
      <w:r w:rsidRPr="009679D8">
        <w:rPr>
          <w:rFonts w:ascii="標楷體" w:hAnsi="標楷體" w:hint="eastAsia"/>
          <w:b/>
          <w:sz w:val="26"/>
          <w:szCs w:val="26"/>
        </w:rPr>
        <w:t>、</w:t>
      </w:r>
      <w:r w:rsidRPr="009679D8">
        <w:rPr>
          <w:rFonts w:ascii="標楷體" w:hAnsi="標楷體" w:hint="eastAsia"/>
          <w:b/>
          <w:bCs/>
          <w:sz w:val="26"/>
          <w:szCs w:val="26"/>
        </w:rPr>
        <w:t>或</w:t>
      </w:r>
      <w:proofErr w:type="gramStart"/>
      <w:r w:rsidRPr="009679D8">
        <w:rPr>
          <w:rFonts w:ascii="標楷體" w:hAnsi="標楷體"/>
          <w:b/>
          <w:bCs/>
          <w:sz w:val="26"/>
          <w:szCs w:val="26"/>
        </w:rPr>
        <w:t>”</w:t>
      </w:r>
      <w:proofErr w:type="gramEnd"/>
      <w:r w:rsidRPr="009679D8">
        <w:rPr>
          <w:rFonts w:ascii="標楷體" w:hAnsi="標楷體" w:hint="eastAsia"/>
          <w:b/>
          <w:bCs/>
          <w:sz w:val="26"/>
          <w:szCs w:val="26"/>
          <w:u w:val="single"/>
        </w:rPr>
        <w:t>(含最新版本)</w:t>
      </w:r>
      <w:proofErr w:type="gramStart"/>
      <w:r w:rsidRPr="009679D8">
        <w:rPr>
          <w:rFonts w:ascii="標楷體" w:hAnsi="標楷體"/>
          <w:b/>
          <w:bCs/>
          <w:sz w:val="26"/>
          <w:szCs w:val="26"/>
          <w:u w:val="single"/>
        </w:rPr>
        <w:t>”</w:t>
      </w:r>
      <w:proofErr w:type="gramEnd"/>
      <w:r w:rsidRPr="009679D8">
        <w:rPr>
          <w:rFonts w:ascii="標楷體" w:hAnsi="標楷體"/>
          <w:b/>
          <w:sz w:val="26"/>
          <w:szCs w:val="26"/>
        </w:rPr>
        <w:t>，</w:t>
      </w:r>
      <w:r w:rsidRPr="009679D8">
        <w:rPr>
          <w:rFonts w:ascii="標楷體" w:hAnsi="標楷體" w:hint="eastAsia"/>
          <w:b/>
          <w:sz w:val="26"/>
          <w:szCs w:val="26"/>
        </w:rPr>
        <w:t>以免隔年正式請購時因規格不同而需提報</w:t>
      </w:r>
      <w:r w:rsidRPr="009679D8">
        <w:rPr>
          <w:rFonts w:ascii="標楷體" w:hAnsi="標楷體" w:hint="eastAsia"/>
          <w:b/>
          <w:sz w:val="26"/>
          <w:szCs w:val="26"/>
          <w:u w:val="single"/>
        </w:rPr>
        <w:t>專責小組</w:t>
      </w:r>
      <w:r w:rsidRPr="009679D8">
        <w:rPr>
          <w:rFonts w:ascii="標楷體" w:hAnsi="標楷體" w:hint="eastAsia"/>
          <w:b/>
          <w:sz w:val="26"/>
          <w:szCs w:val="26"/>
        </w:rPr>
        <w:t>修正規格</w:t>
      </w:r>
      <w:r w:rsidRPr="009679D8">
        <w:rPr>
          <w:rFonts w:ascii="標楷體" w:hAnsi="標楷體"/>
          <w:b/>
          <w:bCs/>
          <w:sz w:val="26"/>
          <w:szCs w:val="26"/>
        </w:rPr>
        <w:t>。</w:t>
      </w:r>
    </w:p>
    <w:p w:rsidR="009679D8" w:rsidRPr="009679D8" w:rsidRDefault="00BF5B3C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sz w:val="26"/>
          <w:szCs w:val="26"/>
        </w:rPr>
        <w:t>除了電腦軟體外，設備之規格欄內僅能列功能需求，不可直接填寫廠牌型號。</w:t>
      </w:r>
    </w:p>
    <w:p w:rsidR="009679D8" w:rsidRPr="009679D8" w:rsidRDefault="00BF5B3C" w:rsidP="00EC7C03">
      <w:pPr>
        <w:numPr>
          <w:ilvl w:val="0"/>
          <w:numId w:val="1"/>
        </w:numPr>
        <w:spacing w:line="460" w:lineRule="exact"/>
        <w:ind w:left="521" w:hangingChars="200" w:hanging="521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/>
          <w:b/>
          <w:bCs/>
          <w:sz w:val="26"/>
          <w:szCs w:val="26"/>
        </w:rPr>
        <w:t>請勿以網路或公司促銷之特惠</w:t>
      </w:r>
      <w:r w:rsidRPr="009679D8">
        <w:rPr>
          <w:rFonts w:ascii="標楷體" w:hAnsi="標楷體" w:hint="eastAsia"/>
          <w:b/>
          <w:bCs/>
          <w:sz w:val="26"/>
          <w:szCs w:val="26"/>
        </w:rPr>
        <w:t>商品或</w:t>
      </w:r>
      <w:r w:rsidRPr="009679D8">
        <w:rPr>
          <w:rFonts w:ascii="標楷體" w:hAnsi="標楷體"/>
          <w:b/>
          <w:bCs/>
          <w:sz w:val="26"/>
          <w:szCs w:val="26"/>
        </w:rPr>
        <w:t>價格做為編列預算的依據</w:t>
      </w:r>
      <w:r w:rsidRPr="009679D8">
        <w:rPr>
          <w:rFonts w:ascii="標楷體" w:hAnsi="標楷體" w:hint="eastAsia"/>
          <w:b/>
          <w:bCs/>
          <w:sz w:val="26"/>
          <w:szCs w:val="26"/>
        </w:rPr>
        <w:t>，以</w:t>
      </w:r>
      <w:bookmarkStart w:id="0" w:name="_GoBack"/>
      <w:bookmarkEnd w:id="0"/>
      <w:r w:rsidRPr="009679D8">
        <w:rPr>
          <w:rFonts w:ascii="標楷體" w:hAnsi="標楷體" w:hint="eastAsia"/>
          <w:b/>
          <w:bCs/>
          <w:sz w:val="26"/>
          <w:szCs w:val="26"/>
        </w:rPr>
        <w:t>免到次年教育部撥款後，正式採購時發生商品已停產或預算不足，導致</w:t>
      </w:r>
      <w:r w:rsidRPr="009679D8">
        <w:rPr>
          <w:rFonts w:ascii="標楷體" w:hAnsi="標楷體" w:hint="eastAsia"/>
          <w:b/>
          <w:sz w:val="26"/>
          <w:szCs w:val="26"/>
        </w:rPr>
        <w:t>需提報</w:t>
      </w:r>
      <w:r w:rsidRPr="009679D8">
        <w:rPr>
          <w:rFonts w:ascii="標楷體" w:hAnsi="標楷體" w:hint="eastAsia"/>
          <w:b/>
          <w:sz w:val="26"/>
          <w:szCs w:val="26"/>
          <w:u w:val="single"/>
        </w:rPr>
        <w:t>專責小組</w:t>
      </w:r>
      <w:r w:rsidRPr="009679D8">
        <w:rPr>
          <w:rFonts w:ascii="標楷體" w:hAnsi="標楷體" w:hint="eastAsia"/>
          <w:b/>
          <w:sz w:val="26"/>
          <w:szCs w:val="26"/>
        </w:rPr>
        <w:t>修正規格</w:t>
      </w:r>
      <w:r w:rsidRPr="009679D8">
        <w:rPr>
          <w:rFonts w:ascii="標楷體" w:hAnsi="標楷體"/>
          <w:b/>
          <w:bCs/>
          <w:sz w:val="26"/>
          <w:szCs w:val="26"/>
        </w:rPr>
        <w:t>。</w:t>
      </w:r>
    </w:p>
    <w:p w:rsidR="009679D8" w:rsidRPr="009679D8" w:rsidRDefault="00BF5B3C" w:rsidP="00EC7C03">
      <w:pPr>
        <w:numPr>
          <w:ilvl w:val="0"/>
          <w:numId w:val="1"/>
        </w:numPr>
        <w:spacing w:line="460" w:lineRule="exact"/>
        <w:ind w:left="521" w:hangingChars="200" w:hanging="521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bCs/>
          <w:sz w:val="26"/>
          <w:szCs w:val="26"/>
        </w:rPr>
        <w:t>授權使用期限未達2年之軟體或資料庫（如</w:t>
      </w:r>
      <w:proofErr w:type="gramStart"/>
      <w:r w:rsidRPr="009679D8">
        <w:rPr>
          <w:rFonts w:ascii="標楷體" w:hAnsi="標楷體" w:hint="eastAsia"/>
          <w:b/>
          <w:bCs/>
          <w:sz w:val="26"/>
          <w:szCs w:val="26"/>
        </w:rPr>
        <w:t>採</w:t>
      </w:r>
      <w:proofErr w:type="gramEnd"/>
      <w:r w:rsidRPr="009679D8">
        <w:rPr>
          <w:rFonts w:ascii="標楷體" w:hAnsi="標楷體" w:hint="eastAsia"/>
          <w:b/>
          <w:bCs/>
          <w:sz w:val="26"/>
          <w:szCs w:val="26"/>
        </w:rPr>
        <w:t>1年1合約，期滿後無線上檢閱權者），由於不符資本門之認列標準，不宜以財產列帳，應歸於經常門。</w:t>
      </w:r>
    </w:p>
    <w:p w:rsidR="009679D8" w:rsidRPr="009679D8" w:rsidRDefault="00BF5B3C" w:rsidP="00EC7C03">
      <w:pPr>
        <w:numPr>
          <w:ilvl w:val="0"/>
          <w:numId w:val="1"/>
        </w:numPr>
        <w:spacing w:line="460" w:lineRule="exact"/>
        <w:ind w:left="521" w:hangingChars="200" w:hanging="521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bCs/>
          <w:sz w:val="26"/>
          <w:szCs w:val="26"/>
          <w:highlight w:val="yellow"/>
        </w:rPr>
        <w:t>同一個優先序號之規格內請勿納入兩種以上</w:t>
      </w:r>
      <w:r w:rsidRPr="009679D8">
        <w:rPr>
          <w:rFonts w:ascii="標楷體" w:hAnsi="標楷體"/>
          <w:b/>
          <w:bCs/>
          <w:sz w:val="26"/>
          <w:szCs w:val="26"/>
          <w:highlight w:val="yellow"/>
        </w:rPr>
        <w:t>可獨立操作性質之設備</w:t>
      </w:r>
      <w:r w:rsidRPr="009679D8">
        <w:rPr>
          <w:rFonts w:ascii="標楷體" w:hAnsi="標楷體" w:hint="eastAsia"/>
          <w:b/>
          <w:bCs/>
          <w:sz w:val="26"/>
          <w:szCs w:val="26"/>
          <w:highlight w:val="yellow"/>
        </w:rPr>
        <w:t>設備</w:t>
      </w:r>
      <w:r w:rsidRPr="009679D8">
        <w:rPr>
          <w:rFonts w:ascii="標楷體" w:hAnsi="標楷體" w:hint="eastAsia"/>
          <w:b/>
          <w:sz w:val="26"/>
          <w:szCs w:val="26"/>
          <w:highlight w:val="yellow"/>
        </w:rPr>
        <w:t>，應將其另列優先序號，例如：勿將</w:t>
      </w:r>
      <w:r w:rsidRPr="009679D8">
        <w:rPr>
          <w:rFonts w:ascii="標楷體" w:hAnsi="標楷體" w:hint="eastAsia"/>
          <w:b/>
          <w:sz w:val="26"/>
          <w:szCs w:val="26"/>
          <w:highlight w:val="yellow"/>
          <w:u w:val="single"/>
        </w:rPr>
        <w:t>電子白板</w:t>
      </w:r>
      <w:r w:rsidRPr="009679D8">
        <w:rPr>
          <w:rFonts w:ascii="標楷體" w:hAnsi="標楷體" w:hint="eastAsia"/>
          <w:b/>
          <w:sz w:val="26"/>
          <w:szCs w:val="26"/>
          <w:highlight w:val="yellow"/>
        </w:rPr>
        <w:t>及</w:t>
      </w:r>
      <w:r w:rsidRPr="009679D8">
        <w:rPr>
          <w:rFonts w:ascii="標楷體" w:hAnsi="標楷體" w:hint="eastAsia"/>
          <w:b/>
          <w:sz w:val="26"/>
          <w:szCs w:val="26"/>
          <w:highlight w:val="yellow"/>
          <w:u w:val="single"/>
        </w:rPr>
        <w:t>短焦投影機</w:t>
      </w:r>
      <w:r w:rsidRPr="009679D8">
        <w:rPr>
          <w:rFonts w:ascii="標楷體" w:hAnsi="標楷體" w:hint="eastAsia"/>
          <w:b/>
          <w:sz w:val="26"/>
          <w:szCs w:val="26"/>
          <w:highlight w:val="yellow"/>
        </w:rPr>
        <w:t>放同一規格內</w:t>
      </w:r>
      <w:r w:rsidRPr="009679D8">
        <w:rPr>
          <w:rFonts w:ascii="標楷體" w:hAnsi="標楷體" w:hint="eastAsia"/>
          <w:b/>
          <w:sz w:val="26"/>
          <w:szCs w:val="26"/>
        </w:rPr>
        <w:t>。</w:t>
      </w:r>
    </w:p>
    <w:p w:rsidR="009679D8" w:rsidRPr="009679D8" w:rsidRDefault="00BF5B3C" w:rsidP="00EC7C03">
      <w:pPr>
        <w:numPr>
          <w:ilvl w:val="0"/>
          <w:numId w:val="1"/>
        </w:numPr>
        <w:spacing w:line="460" w:lineRule="exact"/>
        <w:ind w:left="521" w:hangingChars="200" w:hanging="521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bCs/>
          <w:sz w:val="26"/>
          <w:szCs w:val="26"/>
        </w:rPr>
        <w:t>『個人</w:t>
      </w:r>
      <w:r w:rsidRPr="009679D8">
        <w:rPr>
          <w:rFonts w:ascii="標楷體" w:hAnsi="標楷體"/>
          <w:b/>
          <w:bCs/>
          <w:sz w:val="26"/>
          <w:szCs w:val="26"/>
        </w:rPr>
        <w:t>電腦</w:t>
      </w:r>
      <w:r w:rsidRPr="009679D8">
        <w:rPr>
          <w:rFonts w:ascii="標楷體" w:hAnsi="標楷體" w:hint="eastAsia"/>
          <w:b/>
          <w:bCs/>
          <w:sz w:val="26"/>
          <w:szCs w:val="26"/>
        </w:rPr>
        <w:t>(含螢</w:t>
      </w:r>
      <w:r w:rsidRPr="009679D8">
        <w:rPr>
          <w:rFonts w:ascii="標楷體" w:hAnsi="標楷體"/>
          <w:b/>
          <w:bCs/>
          <w:sz w:val="26"/>
          <w:szCs w:val="26"/>
        </w:rPr>
        <w:t>幕</w:t>
      </w:r>
      <w:r w:rsidRPr="009679D8">
        <w:rPr>
          <w:rFonts w:ascii="標楷體" w:hAnsi="標楷體" w:hint="eastAsia"/>
          <w:b/>
          <w:bCs/>
          <w:sz w:val="26"/>
          <w:szCs w:val="26"/>
        </w:rPr>
        <w:t>)』因螢幕未足萬元且兩者需搭配使用，</w:t>
      </w:r>
      <w:r w:rsidRPr="009679D8">
        <w:rPr>
          <w:rFonts w:ascii="標楷體" w:hAnsi="標楷體"/>
          <w:b/>
          <w:bCs/>
          <w:sz w:val="26"/>
          <w:szCs w:val="26"/>
        </w:rPr>
        <w:t>請不要</w:t>
      </w:r>
      <w:r w:rsidRPr="009679D8">
        <w:rPr>
          <w:rFonts w:ascii="標楷體" w:hAnsi="標楷體" w:hint="eastAsia"/>
          <w:b/>
          <w:bCs/>
          <w:sz w:val="26"/>
          <w:szCs w:val="26"/>
        </w:rPr>
        <w:t>將電腦及螢幕</w:t>
      </w:r>
      <w:r w:rsidRPr="009679D8">
        <w:rPr>
          <w:rFonts w:ascii="標楷體" w:hAnsi="標楷體"/>
          <w:b/>
          <w:bCs/>
          <w:sz w:val="26"/>
          <w:szCs w:val="26"/>
        </w:rPr>
        <w:t>分開列項次。</w:t>
      </w:r>
    </w:p>
    <w:p w:rsidR="00BF5B3C" w:rsidRPr="009679D8" w:rsidRDefault="00BF5B3C" w:rsidP="002D1A01">
      <w:pPr>
        <w:numPr>
          <w:ilvl w:val="0"/>
          <w:numId w:val="1"/>
        </w:numPr>
        <w:spacing w:line="460" w:lineRule="exact"/>
        <w:ind w:left="265" w:hangingChars="102" w:hanging="265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sz w:val="26"/>
          <w:szCs w:val="26"/>
        </w:rPr>
        <w:t>同一專業教室設備案之同性質儀器設備之優先序號請排在附近。</w:t>
      </w:r>
    </w:p>
    <w:p w:rsidR="00BF5B3C" w:rsidRPr="009679D8" w:rsidRDefault="00BF5B3C" w:rsidP="00EC7C03">
      <w:pPr>
        <w:numPr>
          <w:ilvl w:val="0"/>
          <w:numId w:val="1"/>
        </w:numPr>
        <w:spacing w:line="460" w:lineRule="exact"/>
        <w:ind w:left="521" w:hangingChars="200" w:hanging="521"/>
        <w:rPr>
          <w:rFonts w:ascii="標楷體" w:hAnsi="標楷體"/>
          <w:b/>
          <w:bCs/>
          <w:sz w:val="26"/>
          <w:szCs w:val="26"/>
        </w:rPr>
      </w:pPr>
      <w:r w:rsidRPr="009679D8">
        <w:rPr>
          <w:rFonts w:ascii="標楷體" w:hAnsi="標楷體" w:hint="eastAsia"/>
          <w:b/>
          <w:bCs/>
          <w:sz w:val="26"/>
          <w:szCs w:val="26"/>
        </w:rPr>
        <w:t>補助款經費規劃設備，依規定必須與教學相關才行；此外，</w:t>
      </w:r>
      <w:r w:rsidRPr="009679D8">
        <w:rPr>
          <w:rFonts w:ascii="標楷體" w:hAnsi="標楷體"/>
          <w:b/>
          <w:sz w:val="26"/>
          <w:szCs w:val="26"/>
        </w:rPr>
        <w:t>有關教室裝潢費用及相關耗材項目不列入補助(因不是儀器設備)，如</w:t>
      </w:r>
      <w:r w:rsidRPr="009679D8">
        <w:rPr>
          <w:rFonts w:ascii="標楷體" w:hAnsi="標楷體" w:hint="eastAsia"/>
          <w:b/>
          <w:sz w:val="26"/>
          <w:szCs w:val="26"/>
        </w:rPr>
        <w:t>普通</w:t>
      </w:r>
      <w:r w:rsidRPr="009679D8">
        <w:rPr>
          <w:rFonts w:ascii="標楷體" w:hAnsi="標楷體"/>
          <w:b/>
          <w:sz w:val="26"/>
          <w:szCs w:val="26"/>
        </w:rPr>
        <w:t>地板、隔間、屏風、工資、移機費、線材費、稅捐..等</w:t>
      </w:r>
      <w:r w:rsidRPr="009679D8">
        <w:rPr>
          <w:rFonts w:ascii="標楷體" w:hAnsi="標楷體" w:hint="eastAsia"/>
          <w:b/>
          <w:sz w:val="26"/>
          <w:szCs w:val="26"/>
        </w:rPr>
        <w:t>。</w:t>
      </w:r>
    </w:p>
    <w:p w:rsidR="002D2FB9" w:rsidRPr="002D2FB9" w:rsidRDefault="00BF5B3C" w:rsidP="00EC7C03">
      <w:pPr>
        <w:numPr>
          <w:ilvl w:val="0"/>
          <w:numId w:val="1"/>
        </w:numPr>
        <w:spacing w:line="460" w:lineRule="exact"/>
        <w:ind w:left="521" w:hangingChars="200" w:hanging="521"/>
        <w:rPr>
          <w:rFonts w:ascii="標楷體" w:hAnsi="標楷體"/>
          <w:b/>
          <w:sz w:val="26"/>
          <w:szCs w:val="26"/>
        </w:rPr>
      </w:pPr>
      <w:r w:rsidRPr="002D2FB9">
        <w:rPr>
          <w:rFonts w:ascii="標楷體" w:hAnsi="標楷體"/>
          <w:b/>
          <w:sz w:val="26"/>
          <w:szCs w:val="26"/>
        </w:rPr>
        <w:t>編列補助款</w:t>
      </w:r>
      <w:r w:rsidRPr="002D2FB9">
        <w:rPr>
          <w:rFonts w:ascii="標楷體" w:hAnsi="標楷體"/>
          <w:b/>
          <w:iCs/>
          <w:sz w:val="26"/>
          <w:szCs w:val="26"/>
        </w:rPr>
        <w:t>各項設備之單價及規格(</w:t>
      </w:r>
      <w:r w:rsidRPr="002D2FB9">
        <w:rPr>
          <w:rFonts w:ascii="標楷體" w:hAnsi="標楷體"/>
          <w:b/>
          <w:sz w:val="26"/>
          <w:szCs w:val="26"/>
        </w:rPr>
        <w:t>資訊設備、電腦桌、電腦椅、單槍投影機、數位相機、攝影機、雷射印表機等設備)時，需求單位亦可自行找台灣銀行採購部共同供應契約廠商協助，依設備規格需求來編列預算(應再酌加漲幅)</w:t>
      </w:r>
      <w:r w:rsidRPr="002D2FB9">
        <w:rPr>
          <w:rFonts w:ascii="標楷體" w:hAnsi="標楷體"/>
          <w:b/>
          <w:bCs/>
          <w:sz w:val="26"/>
          <w:szCs w:val="26"/>
        </w:rPr>
        <w:t>。</w:t>
      </w:r>
    </w:p>
    <w:p w:rsidR="006A0FFC" w:rsidRPr="002D2FB9" w:rsidRDefault="006A0FFC" w:rsidP="004F4C61">
      <w:pPr>
        <w:numPr>
          <w:ilvl w:val="0"/>
          <w:numId w:val="1"/>
        </w:numPr>
        <w:spacing w:line="460" w:lineRule="exact"/>
        <w:ind w:left="454" w:hanging="454"/>
        <w:rPr>
          <w:rFonts w:ascii="標楷體" w:hAnsi="標楷體"/>
          <w:b/>
          <w:sz w:val="26"/>
          <w:szCs w:val="26"/>
        </w:rPr>
      </w:pPr>
      <w:r w:rsidRPr="002D2FB9">
        <w:rPr>
          <w:rFonts w:ascii="標楷體" w:hAnsi="標楷體" w:hint="eastAsia"/>
          <w:b/>
          <w:sz w:val="26"/>
          <w:szCs w:val="26"/>
        </w:rPr>
        <w:t>歷年來各單位</w:t>
      </w:r>
      <w:proofErr w:type="gramStart"/>
      <w:r w:rsidRPr="002D2FB9">
        <w:rPr>
          <w:rFonts w:ascii="標楷體" w:hAnsi="標楷體" w:hint="eastAsia"/>
          <w:b/>
          <w:sz w:val="26"/>
          <w:szCs w:val="26"/>
        </w:rPr>
        <w:t>詢</w:t>
      </w:r>
      <w:proofErr w:type="gramEnd"/>
      <w:r w:rsidRPr="002D2FB9">
        <w:rPr>
          <w:rFonts w:ascii="標楷體" w:hAnsi="標楷體" w:hint="eastAsia"/>
          <w:b/>
          <w:sz w:val="26"/>
          <w:szCs w:val="26"/>
        </w:rPr>
        <w:t>價及報價不確實，導致價差過大問題，建議</w:t>
      </w:r>
      <w:proofErr w:type="gramStart"/>
      <w:r w:rsidRPr="002D2FB9">
        <w:rPr>
          <w:rFonts w:ascii="標楷體" w:hAnsi="標楷體" w:hint="eastAsia"/>
          <w:b/>
          <w:sz w:val="26"/>
          <w:szCs w:val="26"/>
        </w:rPr>
        <w:t>詢</w:t>
      </w:r>
      <w:proofErr w:type="gramEnd"/>
      <w:r w:rsidRPr="002D2FB9">
        <w:rPr>
          <w:rFonts w:ascii="標楷體" w:hAnsi="標楷體" w:hint="eastAsia"/>
          <w:b/>
          <w:sz w:val="26"/>
          <w:szCs w:val="26"/>
        </w:rPr>
        <w:t>價可規劃二至三家廠商訪價</w:t>
      </w:r>
      <w:r w:rsidR="004F4C61">
        <w:rPr>
          <w:rFonts w:ascii="標楷體" w:hAnsi="標楷體" w:hint="eastAsia"/>
          <w:b/>
          <w:sz w:val="26"/>
          <w:szCs w:val="26"/>
        </w:rPr>
        <w:t>(</w:t>
      </w:r>
      <w:r w:rsidR="004F4C61" w:rsidRPr="002D2FB9">
        <w:rPr>
          <w:rFonts w:ascii="標楷體" w:hAnsi="標楷體"/>
          <w:b/>
          <w:sz w:val="26"/>
          <w:szCs w:val="26"/>
        </w:rPr>
        <w:t>共同供應契約</w:t>
      </w:r>
      <w:r w:rsidR="004F4C61">
        <w:rPr>
          <w:rFonts w:ascii="標楷體" w:hAnsi="標楷體" w:hint="eastAsia"/>
          <w:b/>
          <w:sz w:val="26"/>
          <w:szCs w:val="26"/>
        </w:rPr>
        <w:t>除外)</w:t>
      </w:r>
      <w:r w:rsidRPr="002D2FB9">
        <w:rPr>
          <w:rFonts w:ascii="標楷體" w:hAnsi="標楷體" w:hint="eastAsia"/>
          <w:b/>
          <w:sz w:val="26"/>
          <w:szCs w:val="26"/>
        </w:rPr>
        <w:t>。</w:t>
      </w:r>
    </w:p>
    <w:sectPr w:rsidR="006A0FFC" w:rsidRPr="002D2FB9" w:rsidSect="004F4C61">
      <w:headerReference w:type="default" r:id="rId8"/>
      <w:pgSz w:w="11907" w:h="16840" w:code="9"/>
      <w:pgMar w:top="1134" w:right="567" w:bottom="284" w:left="56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D7" w:rsidRDefault="00F817D7">
      <w:r>
        <w:separator/>
      </w:r>
    </w:p>
  </w:endnote>
  <w:endnote w:type="continuationSeparator" w:id="0">
    <w:p w:rsidR="00F817D7" w:rsidRDefault="00F8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D7" w:rsidRDefault="00F817D7">
      <w:r>
        <w:separator/>
      </w:r>
    </w:p>
  </w:footnote>
  <w:footnote w:type="continuationSeparator" w:id="0">
    <w:p w:rsidR="00F817D7" w:rsidRDefault="00F8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F9" w:rsidRPr="00AB4E37" w:rsidRDefault="00F817D7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4FF5"/>
    <w:multiLevelType w:val="hybridMultilevel"/>
    <w:tmpl w:val="3A6A8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3C"/>
    <w:rsid w:val="002D1A01"/>
    <w:rsid w:val="002D2FB9"/>
    <w:rsid w:val="00447128"/>
    <w:rsid w:val="004A4FAD"/>
    <w:rsid w:val="004D14C7"/>
    <w:rsid w:val="004F4C61"/>
    <w:rsid w:val="0057520E"/>
    <w:rsid w:val="006A0FFC"/>
    <w:rsid w:val="00731277"/>
    <w:rsid w:val="00756679"/>
    <w:rsid w:val="008A3977"/>
    <w:rsid w:val="0096690F"/>
    <w:rsid w:val="009679D8"/>
    <w:rsid w:val="00A25D1A"/>
    <w:rsid w:val="00A732CD"/>
    <w:rsid w:val="00BF5B3C"/>
    <w:rsid w:val="00CB2D56"/>
    <w:rsid w:val="00CF6457"/>
    <w:rsid w:val="00DB6AC7"/>
    <w:rsid w:val="00E073AE"/>
    <w:rsid w:val="00E43F52"/>
    <w:rsid w:val="00EC7C03"/>
    <w:rsid w:val="00F817D7"/>
    <w:rsid w:val="00F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3C"/>
    <w:pPr>
      <w:widowControl w:val="0"/>
      <w:adjustRightInd w:val="0"/>
      <w:textAlignment w:val="baseline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B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F5B3C"/>
    <w:rPr>
      <w:rFonts w:ascii="Times New Roman" w:eastAsia="標楷體" w:hAnsi="Times New Roman" w:cs="Times New Roman"/>
      <w:sz w:val="20"/>
      <w:szCs w:val="20"/>
    </w:rPr>
  </w:style>
  <w:style w:type="character" w:styleId="a5">
    <w:name w:val="Hyperlink"/>
    <w:uiPriority w:val="99"/>
    <w:rsid w:val="00BF5B3C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679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679D8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3C"/>
    <w:pPr>
      <w:widowControl w:val="0"/>
      <w:adjustRightInd w:val="0"/>
      <w:textAlignment w:val="baseline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B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F5B3C"/>
    <w:rPr>
      <w:rFonts w:ascii="Times New Roman" w:eastAsia="標楷體" w:hAnsi="Times New Roman" w:cs="Times New Roman"/>
      <w:sz w:val="20"/>
      <w:szCs w:val="20"/>
    </w:rPr>
  </w:style>
  <w:style w:type="character" w:styleId="a5">
    <w:name w:val="Hyperlink"/>
    <w:uiPriority w:val="99"/>
    <w:rsid w:val="00BF5B3C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9679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679D8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Ting</cp:lastModifiedBy>
  <cp:revision>10</cp:revision>
  <dcterms:created xsi:type="dcterms:W3CDTF">2016-10-05T08:35:00Z</dcterms:created>
  <dcterms:modified xsi:type="dcterms:W3CDTF">2022-08-03T08:43:00Z</dcterms:modified>
</cp:coreProperties>
</file>